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C8D8" w14:textId="77777777" w:rsidR="00DA33A6" w:rsidRPr="00E17EDD" w:rsidRDefault="00DA33A6" w:rsidP="00DA3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E17EDD">
        <w:rPr>
          <w:rFonts w:eastAsia="Times New Roman" w:cs="Times New Roman"/>
          <w:b/>
          <w:sz w:val="28"/>
          <w:szCs w:val="28"/>
        </w:rPr>
        <w:t>UNITED STATES BANKRUPTCY COURT</w:t>
      </w:r>
    </w:p>
    <w:p w14:paraId="5579BEE4" w14:textId="77777777" w:rsidR="00DA33A6" w:rsidRDefault="00DA33A6" w:rsidP="00DA3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E17EDD">
        <w:rPr>
          <w:rFonts w:eastAsia="Times New Roman" w:cs="Times New Roman"/>
          <w:b/>
          <w:sz w:val="28"/>
          <w:szCs w:val="28"/>
        </w:rPr>
        <w:t>FOR THE DISTRICT OF MONTANA</w:t>
      </w:r>
    </w:p>
    <w:p w14:paraId="3A9D020D" w14:textId="77777777" w:rsidR="00DA33A6" w:rsidRPr="00E17EDD" w:rsidRDefault="00DA33A6" w:rsidP="00DA3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346482AB" w14:textId="77777777" w:rsidR="00DA33A6" w:rsidRPr="00E17EDD" w:rsidRDefault="00DA33A6" w:rsidP="00DA3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55"/>
        <w:gridCol w:w="4605"/>
      </w:tblGrid>
      <w:tr w:rsidR="00DA33A6" w:rsidRPr="00E17EDD" w14:paraId="631C1416" w14:textId="77777777" w:rsidTr="00092041">
        <w:tc>
          <w:tcPr>
            <w:tcW w:w="4788" w:type="dxa"/>
            <w:tcBorders>
              <w:top w:val="nil"/>
              <w:left w:val="nil"/>
            </w:tcBorders>
          </w:tcPr>
          <w:p w14:paraId="0EF59AB6" w14:textId="77777777" w:rsidR="00DA33A6" w:rsidRPr="00914A39" w:rsidRDefault="00DA33A6" w:rsidP="0009204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4A39">
              <w:rPr>
                <w:szCs w:val="24"/>
              </w:rPr>
              <w:t>In re</w:t>
            </w:r>
          </w:p>
          <w:p w14:paraId="7F3D019E" w14:textId="77777777" w:rsidR="00DA33A6" w:rsidRPr="00914A39" w:rsidRDefault="00DA33A6" w:rsidP="0009204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14:paraId="627411DE" w14:textId="4BEAE0C4" w:rsidR="00DA33A6" w:rsidRPr="00914A39" w:rsidRDefault="00DA33A6" w:rsidP="0009204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559CD">
              <w:rPr>
                <w:b/>
                <w:bCs/>
                <w:szCs w:val="24"/>
              </w:rPr>
              <w:t>,</w:t>
            </w:r>
          </w:p>
          <w:p w14:paraId="19DE5B13" w14:textId="77777777" w:rsidR="00DA33A6" w:rsidRPr="00914A39" w:rsidRDefault="00DA33A6" w:rsidP="0009204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14:paraId="0258B130" w14:textId="4C7F25B5" w:rsidR="00DA33A6" w:rsidRPr="00914A39" w:rsidRDefault="00DA33A6" w:rsidP="00092041">
            <w:pPr>
              <w:widowControl w:val="0"/>
              <w:autoSpaceDE w:val="0"/>
              <w:autoSpaceDN w:val="0"/>
              <w:adjustRightInd w:val="0"/>
              <w:ind w:left="2880"/>
              <w:rPr>
                <w:szCs w:val="24"/>
              </w:rPr>
            </w:pPr>
            <w:r w:rsidRPr="00914A39">
              <w:rPr>
                <w:szCs w:val="24"/>
              </w:rPr>
              <w:t>Debtor</w:t>
            </w:r>
            <w:r>
              <w:rPr>
                <w:szCs w:val="24"/>
              </w:rPr>
              <w:t>(s)</w:t>
            </w:r>
            <w:r w:rsidRPr="00914A39">
              <w:rPr>
                <w:szCs w:val="24"/>
              </w:rPr>
              <w:t>.</w:t>
            </w:r>
          </w:p>
          <w:p w14:paraId="1F922447" w14:textId="77777777" w:rsidR="00DA33A6" w:rsidRPr="00914A39" w:rsidRDefault="00DA33A6" w:rsidP="0009204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44868738" w14:textId="77777777" w:rsidR="00DA33A6" w:rsidRPr="00914A39" w:rsidRDefault="00DA33A6" w:rsidP="00092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14:paraId="77FE4E80" w14:textId="77777777" w:rsidR="00DA33A6" w:rsidRPr="00914A39" w:rsidRDefault="00DA33A6" w:rsidP="00092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14:paraId="72167890" w14:textId="1ED7C659" w:rsidR="00DA33A6" w:rsidRPr="00914A39" w:rsidRDefault="00DA33A6" w:rsidP="0009204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14A39">
              <w:rPr>
                <w:szCs w:val="24"/>
              </w:rPr>
              <w:t xml:space="preserve">Case No. </w:t>
            </w:r>
            <w:r>
              <w:rPr>
                <w:b/>
                <w:bCs/>
                <w:szCs w:val="24"/>
              </w:rPr>
              <w:t>_____</w:t>
            </w:r>
            <w:r w:rsidRPr="00914A39">
              <w:rPr>
                <w:b/>
                <w:bCs/>
                <w:szCs w:val="24"/>
              </w:rPr>
              <w:t>-</w:t>
            </w:r>
            <w:r w:rsidRPr="00914A39">
              <w:rPr>
                <w:b/>
                <w:szCs w:val="24"/>
              </w:rPr>
              <w:t>BPH</w:t>
            </w:r>
          </w:p>
        </w:tc>
      </w:tr>
    </w:tbl>
    <w:p w14:paraId="473B7FDC" w14:textId="77777777" w:rsidR="00DA33A6" w:rsidRPr="00E17EDD" w:rsidRDefault="00DA33A6" w:rsidP="00DA3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50A4FC07" w14:textId="77777777" w:rsidR="00DA33A6" w:rsidRPr="00B24652" w:rsidRDefault="00DA33A6" w:rsidP="00DA33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E17EDD">
        <w:rPr>
          <w:rFonts w:eastAsia="Times New Roman" w:cs="Times New Roman"/>
          <w:b/>
          <w:sz w:val="28"/>
          <w:szCs w:val="28"/>
        </w:rPr>
        <w:t>ORDER</w:t>
      </w:r>
    </w:p>
    <w:p w14:paraId="7AFB925C" w14:textId="77777777" w:rsidR="007C43B0" w:rsidRDefault="00DA33A6" w:rsidP="007C43B0">
      <w:pPr>
        <w:spacing w:after="0" w:line="240" w:lineRule="auto"/>
        <w:rPr>
          <w:rFonts w:cs="Times New Roman"/>
          <w:szCs w:val="24"/>
        </w:rPr>
      </w:pPr>
      <w:r w:rsidRPr="00E17EDD">
        <w:rPr>
          <w:rFonts w:cs="Times New Roman"/>
          <w:szCs w:val="24"/>
        </w:rPr>
        <w:tab/>
        <w:t xml:space="preserve">In this Chapter </w:t>
      </w:r>
      <w:r>
        <w:rPr>
          <w:rFonts w:cs="Times New Roman"/>
          <w:szCs w:val="24"/>
        </w:rPr>
        <w:t>___</w:t>
      </w:r>
      <w:r w:rsidRPr="00E17EDD">
        <w:rPr>
          <w:rFonts w:cs="Times New Roman"/>
          <w:szCs w:val="24"/>
        </w:rPr>
        <w:t xml:space="preserve"> bankruptcy, the </w:t>
      </w:r>
      <w:r w:rsidR="00D342D0">
        <w:rPr>
          <w:rFonts w:cs="Times New Roman"/>
          <w:szCs w:val="24"/>
        </w:rPr>
        <w:t xml:space="preserve">_____ filed a </w:t>
      </w:r>
      <w:r>
        <w:rPr>
          <w:rFonts w:cs="Times New Roman"/>
          <w:szCs w:val="24"/>
        </w:rPr>
        <w:t xml:space="preserve">Motion for Approval </w:t>
      </w:r>
      <w:r w:rsidR="009A12CB">
        <w:rPr>
          <w:rFonts w:cs="Times New Roman"/>
          <w:szCs w:val="24"/>
        </w:rPr>
        <w:t>of Compromise Settlement and Notice p</w:t>
      </w:r>
      <w:r>
        <w:rPr>
          <w:rFonts w:cs="Times New Roman"/>
          <w:szCs w:val="24"/>
        </w:rPr>
        <w:t>ursuant to F</w:t>
      </w:r>
      <w:r w:rsidR="00D342D0">
        <w:rPr>
          <w:rFonts w:cs="Times New Roman"/>
          <w:szCs w:val="24"/>
        </w:rPr>
        <w:t xml:space="preserve">ed. </w:t>
      </w:r>
      <w:r>
        <w:rPr>
          <w:rFonts w:cs="Times New Roman"/>
          <w:szCs w:val="24"/>
        </w:rPr>
        <w:t>R.</w:t>
      </w:r>
      <w:r w:rsidR="00D342D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</w:t>
      </w:r>
      <w:r w:rsidR="00D342D0">
        <w:rPr>
          <w:rFonts w:cs="Times New Roman"/>
          <w:szCs w:val="24"/>
        </w:rPr>
        <w:t>ankr</w:t>
      </w:r>
      <w:proofErr w:type="spellEnd"/>
      <w:r>
        <w:rPr>
          <w:rFonts w:cs="Times New Roman"/>
          <w:szCs w:val="24"/>
        </w:rPr>
        <w:t>.</w:t>
      </w:r>
      <w:r w:rsidR="00D342D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</w:t>
      </w:r>
      <w:r w:rsidR="00D342D0">
        <w:rPr>
          <w:rFonts w:cs="Times New Roman"/>
          <w:szCs w:val="24"/>
        </w:rPr>
        <w:t>ro.</w:t>
      </w:r>
      <w:r>
        <w:rPr>
          <w:rFonts w:cs="Times New Roman"/>
          <w:szCs w:val="24"/>
        </w:rPr>
        <w:t xml:space="preserve"> 9019(a) on </w:t>
      </w:r>
      <w:r w:rsidR="009A12CB">
        <w:rPr>
          <w:rFonts w:cs="Times New Roman"/>
          <w:szCs w:val="24"/>
        </w:rPr>
        <w:t xml:space="preserve">_______ </w:t>
      </w:r>
      <w:r>
        <w:rPr>
          <w:rFonts w:cs="Times New Roman"/>
          <w:szCs w:val="24"/>
        </w:rPr>
        <w:t xml:space="preserve">at ECF No. </w:t>
      </w:r>
      <w:r w:rsidR="009A12CB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 xml:space="preserve"> (“Motion”). </w:t>
      </w:r>
      <w:r w:rsidR="007C43B0" w:rsidRPr="00125EC1">
        <w:rPr>
          <w:rFonts w:cs="Times New Roman"/>
          <w:szCs w:val="24"/>
        </w:rPr>
        <w:t xml:space="preserve">The Notice explains that the time to respond or object to the </w:t>
      </w:r>
      <w:r w:rsidR="007C43B0">
        <w:rPr>
          <w:rFonts w:cs="Times New Roman"/>
          <w:szCs w:val="24"/>
        </w:rPr>
        <w:t xml:space="preserve">Motion </w:t>
      </w:r>
      <w:r w:rsidR="007C43B0" w:rsidRPr="00125EC1">
        <w:rPr>
          <w:rFonts w:cs="Times New Roman"/>
          <w:szCs w:val="24"/>
        </w:rPr>
        <w:t xml:space="preserve">and schedule the matter for a hearing is </w:t>
      </w:r>
      <w:r w:rsidR="007C43B0">
        <w:rPr>
          <w:rFonts w:cs="Times New Roman"/>
          <w:szCs w:val="24"/>
        </w:rPr>
        <w:t>fourteen</w:t>
      </w:r>
      <w:r w:rsidR="007C43B0" w:rsidRPr="00125EC1">
        <w:rPr>
          <w:rFonts w:cs="Times New Roman"/>
          <w:szCs w:val="24"/>
        </w:rPr>
        <w:t xml:space="preserve"> (</w:t>
      </w:r>
      <w:r w:rsidR="007C43B0">
        <w:rPr>
          <w:rFonts w:cs="Times New Roman"/>
          <w:szCs w:val="24"/>
        </w:rPr>
        <w:t>14</w:t>
      </w:r>
      <w:r w:rsidR="007C43B0" w:rsidRPr="00125EC1">
        <w:rPr>
          <w:rFonts w:cs="Times New Roman"/>
          <w:szCs w:val="24"/>
        </w:rPr>
        <w:t>) days.  The time to respond or object has passed. No objections were filed.</w:t>
      </w:r>
    </w:p>
    <w:p w14:paraId="6F2EAE98" w14:textId="77777777" w:rsidR="007C43B0" w:rsidRDefault="007C43B0" w:rsidP="00B45E51">
      <w:pPr>
        <w:spacing w:after="0" w:line="240" w:lineRule="auto"/>
        <w:rPr>
          <w:rFonts w:cs="Times New Roman"/>
          <w:szCs w:val="24"/>
        </w:rPr>
      </w:pPr>
    </w:p>
    <w:p w14:paraId="70E5F008" w14:textId="4ED226FE" w:rsidR="00B45E51" w:rsidRDefault="00DA33A6" w:rsidP="007C43B0">
      <w:pPr>
        <w:spacing w:after="0" w:line="24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Motion seeks Court approval </w:t>
      </w:r>
      <w:r w:rsidR="009A12CB">
        <w:rPr>
          <w:rFonts w:cs="Times New Roman"/>
          <w:szCs w:val="24"/>
        </w:rPr>
        <w:t>of a compromise between _____ and ____</w:t>
      </w:r>
      <w:r w:rsidR="00B45E51">
        <w:rPr>
          <w:rFonts w:cs="Times New Roman"/>
          <w:szCs w:val="24"/>
        </w:rPr>
        <w:t>_</w:t>
      </w:r>
      <w:r w:rsidR="009A12CB">
        <w:rPr>
          <w:rFonts w:cs="Times New Roman"/>
          <w:szCs w:val="24"/>
        </w:rPr>
        <w:t xml:space="preserve">.  If approved the compromise resolves . . . . . . </w:t>
      </w:r>
    </w:p>
    <w:p w14:paraId="0106809D" w14:textId="77777777" w:rsidR="00B45E51" w:rsidRDefault="00B45E51" w:rsidP="00B45E51">
      <w:pPr>
        <w:spacing w:after="0" w:line="240" w:lineRule="auto"/>
        <w:rPr>
          <w:rFonts w:cs="Times New Roman"/>
          <w:szCs w:val="24"/>
        </w:rPr>
      </w:pPr>
    </w:p>
    <w:p w14:paraId="646581F7" w14:textId="40365FD0" w:rsidR="00DA33A6" w:rsidRDefault="00DA33A6" w:rsidP="00B45E51">
      <w:pPr>
        <w:spacing w:after="0" w:line="24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Judicial approval of the Stipulation is governed by Fed. R. </w:t>
      </w:r>
      <w:proofErr w:type="spellStart"/>
      <w:r>
        <w:rPr>
          <w:rFonts w:cs="Times New Roman"/>
          <w:szCs w:val="24"/>
        </w:rPr>
        <w:t>Bankr</w:t>
      </w:r>
      <w:proofErr w:type="spellEnd"/>
      <w:r>
        <w:rPr>
          <w:rFonts w:cs="Times New Roman"/>
          <w:szCs w:val="24"/>
        </w:rPr>
        <w:t xml:space="preserve">. P. 9019. In deciding whether to approve the Stipulation, the Court must conclude that the compromise is “fair and equitable.” </w:t>
      </w:r>
      <w:r>
        <w:rPr>
          <w:rFonts w:cs="Times New Roman"/>
          <w:i/>
          <w:iCs/>
          <w:szCs w:val="24"/>
        </w:rPr>
        <w:t>Martin v. Kane (In re A&amp;C Properties)</w:t>
      </w:r>
      <w:r>
        <w:rPr>
          <w:rFonts w:cs="Times New Roman"/>
          <w:szCs w:val="24"/>
        </w:rPr>
        <w:t xml:space="preserve">, 784 F.2d 1377, 1381 (9th Cir. 1986). In making this determination, the Court considers the following factors: </w:t>
      </w:r>
    </w:p>
    <w:p w14:paraId="0C8A80CF" w14:textId="77777777" w:rsidR="00B45E51" w:rsidRDefault="00B45E51" w:rsidP="00B45E51">
      <w:pPr>
        <w:spacing w:after="0" w:line="240" w:lineRule="auto"/>
        <w:ind w:firstLine="720"/>
        <w:rPr>
          <w:rFonts w:cs="Times New Roman"/>
          <w:szCs w:val="24"/>
        </w:rPr>
      </w:pPr>
    </w:p>
    <w:p w14:paraId="6941BF13" w14:textId="7C7BD07E" w:rsidR="00DA33A6" w:rsidRPr="00B45E51" w:rsidRDefault="00DA33A6" w:rsidP="00B45E51">
      <w:pPr>
        <w:pStyle w:val="ListParagraph"/>
        <w:numPr>
          <w:ilvl w:val="0"/>
          <w:numId w:val="1"/>
        </w:numPr>
        <w:spacing w:after="0" w:line="240" w:lineRule="auto"/>
      </w:pPr>
      <w:r w:rsidRPr="00F51F5B">
        <w:rPr>
          <w:rFonts w:cs="Times New Roman"/>
          <w:szCs w:val="24"/>
        </w:rPr>
        <w:t>The probability of success in the litigation; (b) the difficulties, if any, to be encountered in the matter of collection; (c) the complexity of the litigation involved, and the expense, inconvenience and delay necessarily attending it; (d) the paramount interest of the creditors and a proper deference to their reasonable views in the premises.</w:t>
      </w:r>
    </w:p>
    <w:p w14:paraId="11AB0A1B" w14:textId="77777777" w:rsidR="00B45E51" w:rsidRPr="00F51F5B" w:rsidRDefault="00B45E51" w:rsidP="00B45E51">
      <w:pPr>
        <w:pStyle w:val="ListParagraph"/>
        <w:spacing w:after="0" w:line="240" w:lineRule="auto"/>
        <w:ind w:left="1080"/>
      </w:pPr>
    </w:p>
    <w:p w14:paraId="1A4C31B1" w14:textId="77777777" w:rsidR="00DA33A6" w:rsidRDefault="00DA33A6" w:rsidP="00B45E51">
      <w:pPr>
        <w:spacing w:after="0" w:line="240" w:lineRule="auto"/>
        <w:rPr>
          <w:rFonts w:cs="Times New Roman"/>
          <w:szCs w:val="24"/>
        </w:rPr>
      </w:pPr>
      <w:r>
        <w:rPr>
          <w:i/>
          <w:iCs/>
        </w:rPr>
        <w:t xml:space="preserve">Id. </w:t>
      </w:r>
      <w:r>
        <w:rPr>
          <w:rFonts w:cs="Times New Roman"/>
          <w:szCs w:val="24"/>
        </w:rPr>
        <w:t xml:space="preserve">As explained in </w:t>
      </w:r>
      <w:r>
        <w:rPr>
          <w:rFonts w:cs="Times New Roman"/>
          <w:i/>
          <w:iCs/>
          <w:szCs w:val="24"/>
        </w:rPr>
        <w:t>A &amp; C Properties</w:t>
      </w:r>
      <w:r>
        <w:rPr>
          <w:rFonts w:cs="Times New Roman"/>
          <w:szCs w:val="24"/>
        </w:rPr>
        <w:t>, “[t]</w:t>
      </w:r>
      <w:proofErr w:type="gramStart"/>
      <w:r w:rsidRPr="00C11B7D">
        <w:rPr>
          <w:rFonts w:cs="Times New Roman"/>
          <w:szCs w:val="24"/>
        </w:rPr>
        <w:t>he</w:t>
      </w:r>
      <w:proofErr w:type="gramEnd"/>
      <w:r w:rsidRPr="00C11B7D">
        <w:rPr>
          <w:rFonts w:cs="Times New Roman"/>
          <w:szCs w:val="24"/>
        </w:rPr>
        <w:t xml:space="preserve"> purpose of a compromise agreement is to allow the trustee and the creditors to avoid the expenses and burdens associated with litigating sharply contested and dubious claims.</w:t>
      </w:r>
      <w:r>
        <w:rPr>
          <w:rFonts w:cs="Times New Roman"/>
          <w:szCs w:val="24"/>
        </w:rPr>
        <w:t xml:space="preserve">” </w:t>
      </w:r>
      <w:r>
        <w:rPr>
          <w:rFonts w:cs="Times New Roman"/>
          <w:i/>
          <w:iCs/>
          <w:szCs w:val="24"/>
        </w:rPr>
        <w:t xml:space="preserve">Id. </w:t>
      </w:r>
      <w:r>
        <w:rPr>
          <w:rFonts w:cs="Times New Roman"/>
          <w:szCs w:val="24"/>
        </w:rPr>
        <w:t>At 1380-81.</w:t>
      </w:r>
      <w:r w:rsidRPr="00C11B7D">
        <w:rPr>
          <w:rFonts w:cs="Times New Roman"/>
          <w:szCs w:val="24"/>
        </w:rPr>
        <w:t xml:space="preserve">  </w:t>
      </w:r>
    </w:p>
    <w:p w14:paraId="0C169273" w14:textId="77777777" w:rsidR="00B45E51" w:rsidRPr="00F51F5B" w:rsidRDefault="00B45E51" w:rsidP="00B45E51">
      <w:pPr>
        <w:spacing w:after="0" w:line="240" w:lineRule="auto"/>
        <w:rPr>
          <w:i/>
          <w:iCs/>
        </w:rPr>
      </w:pPr>
    </w:p>
    <w:p w14:paraId="42F92E45" w14:textId="7B62EFC6" w:rsidR="00DA33A6" w:rsidRDefault="00DA33A6" w:rsidP="00A7518C">
      <w:pPr>
        <w:spacing w:after="0" w:line="24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Upon review of the Motion</w:t>
      </w:r>
      <w:r w:rsidR="00B45E5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and after considering the relevant factors, the Court finds that the parties’ agreement is “fair and equitable” as required by </w:t>
      </w:r>
      <w:r>
        <w:rPr>
          <w:rFonts w:cs="Times New Roman"/>
          <w:i/>
          <w:iCs/>
          <w:szCs w:val="24"/>
        </w:rPr>
        <w:t>A &amp; C Properties</w:t>
      </w:r>
      <w:r>
        <w:rPr>
          <w:rFonts w:cs="Times New Roman"/>
          <w:szCs w:val="24"/>
        </w:rPr>
        <w:t>. Accordingly,</w:t>
      </w:r>
      <w:r w:rsidR="00A7518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IT IS ORDERED that the </w:t>
      </w:r>
      <w:r w:rsidR="00A7518C">
        <w:rPr>
          <w:rFonts w:cs="Times New Roman"/>
          <w:szCs w:val="24"/>
        </w:rPr>
        <w:t xml:space="preserve">compromise is </w:t>
      </w:r>
      <w:proofErr w:type="gramStart"/>
      <w:r w:rsidR="00A7518C">
        <w:rPr>
          <w:rFonts w:cs="Times New Roman"/>
          <w:szCs w:val="24"/>
        </w:rPr>
        <w:t>approved</w:t>
      </w:r>
      <w:proofErr w:type="gramEnd"/>
      <w:r w:rsidR="00A7518C">
        <w:rPr>
          <w:rFonts w:cs="Times New Roman"/>
          <w:szCs w:val="24"/>
        </w:rPr>
        <w:t xml:space="preserve"> and the </w:t>
      </w:r>
      <w:r>
        <w:rPr>
          <w:rFonts w:cs="Times New Roman"/>
          <w:szCs w:val="24"/>
        </w:rPr>
        <w:t>Motion is granted</w:t>
      </w:r>
      <w:r w:rsidR="00A7518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and the Stipulation is approved. The </w:t>
      </w:r>
      <w:r w:rsidR="00A7518C">
        <w:rPr>
          <w:rFonts w:cs="Times New Roman"/>
          <w:szCs w:val="24"/>
        </w:rPr>
        <w:t xml:space="preserve">Parties </w:t>
      </w:r>
      <w:r>
        <w:rPr>
          <w:rFonts w:cs="Times New Roman"/>
          <w:szCs w:val="24"/>
        </w:rPr>
        <w:t xml:space="preserve">shall perform according to the terms and conditions of the </w:t>
      </w:r>
      <w:r w:rsidR="00A7518C">
        <w:rPr>
          <w:rFonts w:cs="Times New Roman"/>
          <w:szCs w:val="24"/>
        </w:rPr>
        <w:t>Compromise and Settlement</w:t>
      </w:r>
      <w:r>
        <w:rPr>
          <w:rFonts w:cs="Times New Roman"/>
          <w:szCs w:val="24"/>
        </w:rPr>
        <w:t>.</w:t>
      </w:r>
    </w:p>
    <w:p w14:paraId="087DACA8" w14:textId="77777777" w:rsidR="00A7518C" w:rsidRDefault="00A7518C" w:rsidP="00A7518C">
      <w:pPr>
        <w:spacing w:after="0" w:line="240" w:lineRule="auto"/>
        <w:ind w:firstLine="720"/>
        <w:rPr>
          <w:rFonts w:cs="Times New Roman"/>
          <w:szCs w:val="24"/>
        </w:rPr>
      </w:pPr>
    </w:p>
    <w:p w14:paraId="6C70F417" w14:textId="089E53A1" w:rsidR="00DA33A6" w:rsidRDefault="00DA33A6" w:rsidP="00DA33A6">
      <w:pPr>
        <w:spacing w:after="0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Dated </w:t>
      </w: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DATE \@ "MMMM d, yyyy" </w:instrText>
      </w:r>
      <w:r>
        <w:rPr>
          <w:rFonts w:cs="Times New Roman"/>
          <w:szCs w:val="24"/>
        </w:rPr>
        <w:fldChar w:fldCharType="separate"/>
      </w:r>
      <w:r w:rsidR="005E4C03">
        <w:rPr>
          <w:rFonts w:cs="Times New Roman"/>
          <w:noProof/>
          <w:szCs w:val="24"/>
        </w:rPr>
        <w:t>March 16, 2023</w:t>
      </w:r>
      <w:r>
        <w:rPr>
          <w:rFonts w:cs="Times New Roman"/>
          <w:szCs w:val="24"/>
        </w:rPr>
        <w:fldChar w:fldCharType="end"/>
      </w:r>
      <w:r w:rsidR="00834500">
        <w:rPr>
          <w:rFonts w:cs="Times New Roman"/>
          <w:szCs w:val="24"/>
        </w:rPr>
        <w:t>.</w:t>
      </w:r>
    </w:p>
    <w:p w14:paraId="08C3E7CA" w14:textId="085ADBD4" w:rsidR="00834500" w:rsidRPr="003A517D" w:rsidRDefault="00834500" w:rsidP="005E4C03">
      <w:pPr>
        <w:spacing w:after="0"/>
      </w:pPr>
    </w:p>
    <w:p w14:paraId="6EAE4DC9" w14:textId="70D41CFB" w:rsidR="00E548E3" w:rsidRDefault="005E4C03"/>
    <w:sectPr w:rsidR="00E54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E0D2B"/>
    <w:multiLevelType w:val="hybridMultilevel"/>
    <w:tmpl w:val="D9924E72"/>
    <w:lvl w:ilvl="0" w:tplc="0F82291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394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A6"/>
    <w:rsid w:val="0026118F"/>
    <w:rsid w:val="002810EB"/>
    <w:rsid w:val="003A630F"/>
    <w:rsid w:val="005E4C03"/>
    <w:rsid w:val="007C43B0"/>
    <w:rsid w:val="00834500"/>
    <w:rsid w:val="00880687"/>
    <w:rsid w:val="009A12CB"/>
    <w:rsid w:val="00A7518C"/>
    <w:rsid w:val="00B45E51"/>
    <w:rsid w:val="00D342D0"/>
    <w:rsid w:val="00DA33A6"/>
    <w:rsid w:val="00E420C5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0E3E"/>
  <w15:chartTrackingRefBased/>
  <w15:docId w15:val="{B4D23D87-E721-44A4-B8AD-B493A45B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A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A33A6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3A6"/>
    <w:pPr>
      <w:ind w:left="720"/>
      <w:contextualSpacing/>
    </w:pPr>
  </w:style>
  <w:style w:type="table" w:styleId="TableGrid">
    <w:name w:val="Table Grid"/>
    <w:basedOn w:val="TableNormal"/>
    <w:uiPriority w:val="39"/>
    <w:rsid w:val="00DA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Yould</dc:creator>
  <cp:keywords/>
  <dc:description/>
  <cp:lastModifiedBy>Kale Guldseth</cp:lastModifiedBy>
  <cp:revision>3</cp:revision>
  <dcterms:created xsi:type="dcterms:W3CDTF">2023-03-16T15:44:00Z</dcterms:created>
  <dcterms:modified xsi:type="dcterms:W3CDTF">2023-03-16T15:46:00Z</dcterms:modified>
</cp:coreProperties>
</file>