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12E95" w14:paraId="476993FE" w14:textId="77777777">
        <w:trPr>
          <w:cantSplit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BDD34" w14:textId="77777777" w:rsidR="00712E95" w:rsidRDefault="00841F4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instrText xml:space="preserve"> SEQ CHAPTER \h \r 1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UNITED STATES BANKRUPTCY COURT</w:t>
            </w:r>
          </w:p>
          <w:p w14:paraId="6351EC28" w14:textId="77777777" w:rsidR="00712E95" w:rsidRDefault="0084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THE DISTRICT OF MONTANA</w:t>
            </w:r>
          </w:p>
          <w:p w14:paraId="58DD9352" w14:textId="77777777" w:rsidR="00712E95" w:rsidRDefault="00712E95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95" w14:paraId="66C7101E" w14:textId="77777777">
        <w:trPr>
          <w:cantSplit/>
        </w:trPr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85F63FF" w14:textId="77777777" w:rsidR="00712E95" w:rsidRDefault="00841F4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</w:t>
            </w:r>
          </w:p>
          <w:p w14:paraId="3E8BF69E" w14:textId="77777777" w:rsidR="00712E95" w:rsidRDefault="0071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0E218" w14:textId="066E3E96" w:rsidR="00712E95" w:rsidRDefault="00841F4A" w:rsidP="004B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5D6E6C43" w14:textId="77777777" w:rsidR="00712E95" w:rsidRDefault="00712E95">
            <w:pPr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C335C" w14:textId="1BA119C6" w:rsidR="00712E95" w:rsidRDefault="0084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Debtor.</w:t>
            </w:r>
          </w:p>
          <w:p w14:paraId="508B3546" w14:textId="77777777" w:rsidR="00712E95" w:rsidRDefault="00712E95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787AB28" w14:textId="77777777" w:rsidR="00712E95" w:rsidRDefault="00712E9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DC025" w14:textId="77777777" w:rsidR="00712E95" w:rsidRDefault="0071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1487F" w14:textId="0ED575AA" w:rsidR="00712E95" w:rsidRDefault="00841F4A">
            <w:pPr>
              <w:autoSpaceDE w:val="0"/>
              <w:autoSpaceDN w:val="0"/>
              <w:adjustRightInd w:val="0"/>
              <w:spacing w:after="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  <w:r w:rsidR="00C538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B6D6F">
              <w:rPr>
                <w:rFonts w:ascii="Times New Roman" w:hAnsi="Times New Roman" w:cs="Times New Roman"/>
                <w:b/>
                <w:sz w:val="24"/>
                <w:szCs w:val="24"/>
              </w:rPr>
              <w:t>BPH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E95" w14:paraId="699EE5ED" w14:textId="77777777" w:rsidTr="002B17CF">
        <w:trPr>
          <w:cantSplit/>
          <w:trHeight w:val="768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242E2" w14:textId="77777777" w:rsidR="00712E95" w:rsidRDefault="00712E95" w:rsidP="00BE4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CDF33" w14:textId="77627D8D" w:rsidR="00712E95" w:rsidRDefault="00841F4A" w:rsidP="00BE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ORDER</w:t>
            </w:r>
          </w:p>
          <w:p w14:paraId="575B6E2F" w14:textId="77777777" w:rsidR="00712E95" w:rsidRDefault="00712E95" w:rsidP="00BE48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A92DA8" w14:textId="5652E0AD" w:rsidR="00134979" w:rsidRDefault="00841F4A" w:rsidP="002B17CF">
      <w:pPr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 w:rsidRPr="00841F4A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841F4A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841F4A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841F4A">
        <w:rPr>
          <w:rFonts w:ascii="Times New Roman" w:hAnsi="Times New Roman" w:cs="Times New Roman"/>
          <w:sz w:val="24"/>
          <w:szCs w:val="24"/>
        </w:rPr>
        <w:t>In thi</w:t>
      </w:r>
      <w:r w:rsidR="00C47EA1">
        <w:rPr>
          <w:rFonts w:ascii="Times New Roman" w:hAnsi="Times New Roman" w:cs="Times New Roman"/>
          <w:sz w:val="24"/>
          <w:szCs w:val="24"/>
        </w:rPr>
        <w:t xml:space="preserve">s Chapter </w:t>
      </w:r>
      <w:r w:rsidR="0084526F">
        <w:rPr>
          <w:rFonts w:ascii="Times New Roman" w:hAnsi="Times New Roman" w:cs="Times New Roman"/>
          <w:sz w:val="24"/>
          <w:szCs w:val="24"/>
        </w:rPr>
        <w:t>_</w:t>
      </w:r>
      <w:r w:rsidR="00F548C4">
        <w:rPr>
          <w:rFonts w:ascii="Times New Roman" w:hAnsi="Times New Roman" w:cs="Times New Roman"/>
          <w:sz w:val="24"/>
          <w:szCs w:val="24"/>
        </w:rPr>
        <w:t xml:space="preserve"> bankruptcy, </w:t>
      </w:r>
      <w:r w:rsidR="000B24ED">
        <w:rPr>
          <w:rFonts w:ascii="Times New Roman" w:hAnsi="Times New Roman" w:cs="Times New Roman"/>
          <w:sz w:val="24"/>
          <w:szCs w:val="24"/>
        </w:rPr>
        <w:t xml:space="preserve">the </w:t>
      </w:r>
      <w:r w:rsidR="00A1760A">
        <w:rPr>
          <w:rFonts w:ascii="Times New Roman" w:hAnsi="Times New Roman" w:cs="Times New Roman"/>
          <w:sz w:val="24"/>
          <w:szCs w:val="24"/>
        </w:rPr>
        <w:t xml:space="preserve">discharged </w:t>
      </w:r>
      <w:r w:rsidR="000B24ED">
        <w:rPr>
          <w:rFonts w:ascii="Times New Roman" w:hAnsi="Times New Roman" w:cs="Times New Roman"/>
          <w:sz w:val="24"/>
          <w:szCs w:val="24"/>
        </w:rPr>
        <w:t xml:space="preserve">Trustee </w:t>
      </w:r>
      <w:r w:rsidR="00C47EA1">
        <w:rPr>
          <w:rFonts w:ascii="Times New Roman" w:hAnsi="Times New Roman" w:cs="Times New Roman"/>
          <w:sz w:val="24"/>
          <w:szCs w:val="24"/>
        </w:rPr>
        <w:t xml:space="preserve">filed a </w:t>
      </w:r>
      <w:r w:rsidR="0084526F">
        <w:rPr>
          <w:rFonts w:ascii="Times New Roman" w:hAnsi="Times New Roman" w:cs="Times New Roman"/>
          <w:sz w:val="24"/>
          <w:szCs w:val="24"/>
        </w:rPr>
        <w:t>“</w:t>
      </w:r>
      <w:r w:rsidR="00C47EA1">
        <w:rPr>
          <w:rFonts w:ascii="Times New Roman" w:hAnsi="Times New Roman" w:cs="Times New Roman"/>
          <w:sz w:val="24"/>
          <w:szCs w:val="24"/>
        </w:rPr>
        <w:t>Motion to Reopen Case</w:t>
      </w:r>
      <w:r w:rsidR="0084526F">
        <w:rPr>
          <w:rFonts w:ascii="Times New Roman" w:hAnsi="Times New Roman" w:cs="Times New Roman"/>
          <w:sz w:val="24"/>
          <w:szCs w:val="24"/>
        </w:rPr>
        <w:t>”</w:t>
      </w:r>
      <w:r w:rsidR="00BE48C6">
        <w:rPr>
          <w:rFonts w:ascii="Times New Roman" w:hAnsi="Times New Roman" w:cs="Times New Roman"/>
          <w:sz w:val="24"/>
          <w:szCs w:val="24"/>
        </w:rPr>
        <w:t xml:space="preserve"> on </w:t>
      </w:r>
      <w:r w:rsidR="0084526F">
        <w:rPr>
          <w:rFonts w:ascii="Times New Roman" w:hAnsi="Times New Roman" w:cs="Times New Roman"/>
          <w:sz w:val="24"/>
          <w:szCs w:val="24"/>
        </w:rPr>
        <w:t>________</w:t>
      </w:r>
      <w:r w:rsidR="00A1760A">
        <w:rPr>
          <w:rFonts w:ascii="Times New Roman" w:hAnsi="Times New Roman" w:cs="Times New Roman"/>
          <w:sz w:val="24"/>
          <w:szCs w:val="24"/>
        </w:rPr>
        <w:t xml:space="preserve">, </w:t>
      </w:r>
      <w:r w:rsidR="00BE48C6">
        <w:rPr>
          <w:rFonts w:ascii="Times New Roman" w:hAnsi="Times New Roman" w:cs="Times New Roman"/>
          <w:sz w:val="24"/>
          <w:szCs w:val="24"/>
        </w:rPr>
        <w:t xml:space="preserve">at ECF No. </w:t>
      </w:r>
      <w:r w:rsidR="0084526F">
        <w:rPr>
          <w:rFonts w:ascii="Times New Roman" w:hAnsi="Times New Roman" w:cs="Times New Roman"/>
          <w:sz w:val="24"/>
          <w:szCs w:val="24"/>
        </w:rPr>
        <w:t>__</w:t>
      </w:r>
      <w:r w:rsidR="002B6D6F">
        <w:rPr>
          <w:rFonts w:ascii="Times New Roman" w:hAnsi="Times New Roman" w:cs="Times New Roman"/>
          <w:sz w:val="24"/>
          <w:szCs w:val="24"/>
        </w:rPr>
        <w:t xml:space="preserve"> (“Motion”)</w:t>
      </w:r>
      <w:r w:rsidR="003D3785">
        <w:rPr>
          <w:rFonts w:ascii="Times New Roman" w:hAnsi="Times New Roman" w:cs="Times New Roman"/>
          <w:sz w:val="24"/>
          <w:szCs w:val="24"/>
        </w:rPr>
        <w:t xml:space="preserve">. </w:t>
      </w:r>
      <w:r w:rsidR="002B6D6F">
        <w:rPr>
          <w:rFonts w:ascii="Times New Roman" w:hAnsi="Times New Roman" w:cs="Times New Roman"/>
          <w:sz w:val="24"/>
          <w:szCs w:val="24"/>
        </w:rPr>
        <w:t>The Motion</w:t>
      </w:r>
      <w:r w:rsidR="000E4FA1">
        <w:rPr>
          <w:rFonts w:ascii="TimesNewRomanPSMT" w:hAnsi="TimesNewRomanPSMT" w:cs="TimesNewRomanPSMT"/>
          <w:sz w:val="24"/>
          <w:szCs w:val="24"/>
        </w:rPr>
        <w:t xml:space="preserve"> requests that </w:t>
      </w:r>
      <w:r w:rsidR="000B24ED">
        <w:rPr>
          <w:rFonts w:ascii="TimesNewRomanPSMT" w:hAnsi="TimesNewRomanPSMT" w:cs="TimesNewRomanPSMT"/>
          <w:sz w:val="24"/>
          <w:szCs w:val="24"/>
        </w:rPr>
        <w:t>this</w:t>
      </w:r>
      <w:r w:rsidR="000E4FA1">
        <w:rPr>
          <w:rFonts w:ascii="TimesNewRomanPSMT" w:hAnsi="TimesNewRomanPSMT" w:cs="TimesNewRomanPSMT"/>
          <w:sz w:val="24"/>
          <w:szCs w:val="24"/>
        </w:rPr>
        <w:t xml:space="preserve"> case be re-opened to</w:t>
      </w:r>
      <w:r w:rsidR="000B24ED">
        <w:rPr>
          <w:rFonts w:ascii="TimesNewRomanPSMT" w:hAnsi="TimesNewRomanPSMT" w:cs="TimesNewRomanPSMT"/>
          <w:sz w:val="24"/>
          <w:szCs w:val="24"/>
        </w:rPr>
        <w:t xml:space="preserve"> administer </w:t>
      </w:r>
      <w:r w:rsidR="00DA50DF">
        <w:rPr>
          <w:rFonts w:ascii="TimesNewRomanPSMT" w:hAnsi="TimesNewRomanPSMT" w:cs="TimesNewRomanPSMT"/>
          <w:sz w:val="24"/>
          <w:szCs w:val="24"/>
        </w:rPr>
        <w:t>assets of the estate</w:t>
      </w:r>
      <w:r w:rsidR="000E4FA1">
        <w:rPr>
          <w:rFonts w:ascii="TimesNewRomanPSMT" w:hAnsi="TimesNewRomanPSMT" w:cs="TimesNewRomanPSMT"/>
          <w:sz w:val="24"/>
          <w:szCs w:val="24"/>
        </w:rPr>
        <w:t xml:space="preserve">.  </w:t>
      </w:r>
    </w:p>
    <w:p w14:paraId="3540230C" w14:textId="77777777" w:rsidR="002B17CF" w:rsidRDefault="002B17CF" w:rsidP="002B17CF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CCED054" w14:textId="788D5F98" w:rsidR="00134979" w:rsidRDefault="000B24ED" w:rsidP="002B17C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U.S.C. §</w:t>
      </w:r>
      <w:r w:rsidR="00E60CDA">
        <w:rPr>
          <w:rFonts w:ascii="Times New Roman" w:hAnsi="Times New Roman" w:cs="Times New Roman"/>
          <w:sz w:val="24"/>
          <w:szCs w:val="24"/>
        </w:rPr>
        <w:t xml:space="preserve"> 350(b) </w:t>
      </w:r>
      <w:r>
        <w:rPr>
          <w:rFonts w:ascii="Times New Roman" w:hAnsi="Times New Roman" w:cs="Times New Roman"/>
          <w:sz w:val="24"/>
          <w:szCs w:val="24"/>
        </w:rPr>
        <w:t>provides that</w:t>
      </w:r>
      <w:r w:rsidR="003D4AAA">
        <w:rPr>
          <w:rFonts w:ascii="Times New Roman" w:hAnsi="Times New Roman" w:cs="Times New Roman"/>
          <w:sz w:val="24"/>
          <w:szCs w:val="24"/>
        </w:rPr>
        <w:t xml:space="preserve"> “a</w:t>
      </w:r>
      <w:r w:rsidR="003D4AAA" w:rsidRPr="003D4AAA">
        <w:rPr>
          <w:rFonts w:ascii="Times New Roman" w:hAnsi="Times New Roman" w:cs="Times New Roman"/>
          <w:sz w:val="24"/>
          <w:szCs w:val="24"/>
        </w:rPr>
        <w:t xml:space="preserve"> case may be reopened in the court in which such case was closed to administer assets, to accord relief to the debtor, or for other cause.</w:t>
      </w:r>
      <w:r w:rsidR="003D4AAA">
        <w:rPr>
          <w:rFonts w:ascii="Times New Roman" w:hAnsi="Times New Roman" w:cs="Times New Roman"/>
          <w:sz w:val="24"/>
          <w:szCs w:val="24"/>
        </w:rPr>
        <w:t>”</w:t>
      </w:r>
      <w:r w:rsidR="00134979">
        <w:rPr>
          <w:rFonts w:ascii="Times New Roman" w:hAnsi="Times New Roman" w:cs="Times New Roman"/>
          <w:sz w:val="24"/>
          <w:szCs w:val="24"/>
        </w:rPr>
        <w:t xml:space="preserve"> Additionally, Fed. R. Bankr. Pro. 5010 </w:t>
      </w:r>
      <w:bookmarkStart w:id="0" w:name="_Hlk80715447"/>
      <w:r w:rsidR="00134979">
        <w:rPr>
          <w:rFonts w:ascii="Times New Roman" w:hAnsi="Times New Roman" w:cs="Times New Roman"/>
          <w:sz w:val="24"/>
          <w:szCs w:val="24"/>
        </w:rPr>
        <w:t xml:space="preserve">states that “[a] case may be reopened on motion of the debtor or other party in interest pursuant to §350(b) of the Code.” </w:t>
      </w:r>
    </w:p>
    <w:p w14:paraId="62993B0F" w14:textId="77777777" w:rsidR="002B17CF" w:rsidRDefault="002B17CF" w:rsidP="002B17C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bookmarkEnd w:id="0"/>
    <w:p w14:paraId="0FE7A1AC" w14:textId="48D8B827" w:rsidR="00841F4A" w:rsidRDefault="00134979" w:rsidP="002B17C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Upon review of the Motion, t</w:t>
      </w:r>
      <w:r w:rsidR="00DA50DF">
        <w:rPr>
          <w:rFonts w:ascii="Times New Roman" w:hAnsi="Times New Roman" w:cs="Times New Roman"/>
          <w:sz w:val="24"/>
          <w:szCs w:val="24"/>
        </w:rPr>
        <w:t xml:space="preserve">he Court </w:t>
      </w:r>
      <w:r>
        <w:rPr>
          <w:rFonts w:ascii="Times New Roman" w:hAnsi="Times New Roman" w:cs="Times New Roman"/>
          <w:sz w:val="24"/>
          <w:szCs w:val="24"/>
        </w:rPr>
        <w:t xml:space="preserve">has determined that </w:t>
      </w:r>
      <w:r w:rsidR="00DA50DF">
        <w:rPr>
          <w:rFonts w:ascii="Times New Roman" w:hAnsi="Times New Roman" w:cs="Times New Roman"/>
          <w:sz w:val="24"/>
          <w:szCs w:val="24"/>
        </w:rPr>
        <w:t>r</w:t>
      </w:r>
      <w:r w:rsidR="003D4AAA">
        <w:rPr>
          <w:rFonts w:ascii="Times New Roman" w:hAnsi="Times New Roman" w:cs="Times New Roman"/>
          <w:sz w:val="24"/>
          <w:szCs w:val="24"/>
        </w:rPr>
        <w:t xml:space="preserve">eopening this case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0B24ED">
        <w:rPr>
          <w:rFonts w:ascii="Times New Roman" w:hAnsi="Times New Roman" w:cs="Times New Roman"/>
          <w:sz w:val="24"/>
          <w:szCs w:val="24"/>
        </w:rPr>
        <w:t xml:space="preserve"> administer </w:t>
      </w:r>
      <w:r w:rsidR="00DA50DF">
        <w:rPr>
          <w:rFonts w:ascii="Times New Roman" w:hAnsi="Times New Roman" w:cs="Times New Roman"/>
          <w:sz w:val="24"/>
          <w:szCs w:val="24"/>
        </w:rPr>
        <w:t>assets</w:t>
      </w:r>
      <w:r w:rsidR="000B24ED">
        <w:rPr>
          <w:rFonts w:ascii="Times New Roman" w:hAnsi="Times New Roman" w:cs="Times New Roman"/>
          <w:sz w:val="24"/>
          <w:szCs w:val="24"/>
        </w:rPr>
        <w:t xml:space="preserve"> </w:t>
      </w:r>
      <w:r w:rsidR="003D4AAA">
        <w:rPr>
          <w:rFonts w:ascii="TimesNewRomanPSMT" w:hAnsi="TimesNewRomanPSMT" w:cs="TimesNewRomanPSMT"/>
          <w:sz w:val="24"/>
          <w:szCs w:val="24"/>
        </w:rPr>
        <w:t xml:space="preserve">is consistent with 11 U.S.C. </w:t>
      </w:r>
      <w:r w:rsidR="003D4AAA" w:rsidRPr="003B09D1">
        <w:rPr>
          <w:rFonts w:ascii="Times New Roman" w:hAnsi="Times New Roman" w:cs="Times New Roman"/>
          <w:sz w:val="24"/>
          <w:szCs w:val="24"/>
        </w:rPr>
        <w:t>§</w:t>
      </w:r>
      <w:r w:rsidR="003D4AAA">
        <w:rPr>
          <w:rFonts w:ascii="Times New Roman" w:hAnsi="Times New Roman" w:cs="Times New Roman"/>
          <w:sz w:val="24"/>
          <w:szCs w:val="24"/>
        </w:rPr>
        <w:t xml:space="preserve"> 350(b). </w:t>
      </w:r>
      <w:r w:rsidR="00841F4A" w:rsidRPr="00841F4A">
        <w:rPr>
          <w:rFonts w:ascii="Times New Roman" w:hAnsi="Times New Roman" w:cs="Times New Roman"/>
          <w:sz w:val="24"/>
          <w:szCs w:val="24"/>
        </w:rPr>
        <w:t>Accordingly,</w:t>
      </w:r>
    </w:p>
    <w:p w14:paraId="4E8507A3" w14:textId="77777777" w:rsidR="002B17CF" w:rsidRPr="000B24ED" w:rsidRDefault="002B17CF" w:rsidP="002B17CF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8CC0E27" w14:textId="5729C7FE" w:rsidR="00F204CA" w:rsidRDefault="00841F4A" w:rsidP="00F204C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CA"/>
        </w:rPr>
      </w:pPr>
      <w:r w:rsidRPr="00841F4A">
        <w:rPr>
          <w:rFonts w:ascii="Times New Roman" w:hAnsi="Times New Roman" w:cs="Times New Roman"/>
          <w:sz w:val="24"/>
          <w:szCs w:val="24"/>
        </w:rPr>
        <w:t xml:space="preserve">IT IS ORDERED that </w:t>
      </w:r>
      <w:r w:rsidR="003D4AAA" w:rsidRPr="003D4AAA">
        <w:rPr>
          <w:rFonts w:ascii="Times New Roman" w:hAnsi="Times New Roman" w:cs="Times New Roman"/>
          <w:sz w:val="24"/>
          <w:szCs w:val="24"/>
        </w:rPr>
        <w:t>that the</w:t>
      </w:r>
      <w:r w:rsidR="002B6D6F">
        <w:rPr>
          <w:rFonts w:ascii="Times New Roman" w:hAnsi="Times New Roman" w:cs="Times New Roman"/>
          <w:sz w:val="24"/>
          <w:szCs w:val="24"/>
        </w:rPr>
        <w:t xml:space="preserve"> Motion </w:t>
      </w:r>
      <w:r w:rsidR="003D4AAA" w:rsidRPr="003D4AAA">
        <w:rPr>
          <w:rFonts w:ascii="Times New Roman" w:hAnsi="Times New Roman" w:cs="Times New Roman"/>
          <w:sz w:val="24"/>
          <w:szCs w:val="24"/>
        </w:rPr>
        <w:t>is</w:t>
      </w:r>
      <w:r w:rsidR="002B6D6F">
        <w:rPr>
          <w:rFonts w:ascii="Times New Roman" w:hAnsi="Times New Roman" w:cs="Times New Roman"/>
          <w:sz w:val="24"/>
          <w:szCs w:val="24"/>
        </w:rPr>
        <w:t xml:space="preserve"> </w:t>
      </w:r>
      <w:r w:rsidR="003D4AAA" w:rsidRPr="003D4AAA">
        <w:rPr>
          <w:rFonts w:ascii="Times New Roman" w:hAnsi="Times New Roman" w:cs="Times New Roman"/>
          <w:sz w:val="24"/>
          <w:szCs w:val="24"/>
        </w:rPr>
        <w:t>granted</w:t>
      </w:r>
      <w:r w:rsidR="002B17CF">
        <w:rPr>
          <w:rFonts w:ascii="Times New Roman" w:hAnsi="Times New Roman" w:cs="Times New Roman"/>
          <w:sz w:val="24"/>
          <w:szCs w:val="24"/>
        </w:rPr>
        <w:t>,</w:t>
      </w:r>
      <w:r w:rsidR="002B6D6F">
        <w:rPr>
          <w:rFonts w:ascii="Times New Roman" w:hAnsi="Times New Roman" w:cs="Times New Roman"/>
          <w:sz w:val="24"/>
          <w:szCs w:val="24"/>
        </w:rPr>
        <w:t xml:space="preserve"> </w:t>
      </w:r>
      <w:r w:rsidR="003D4AAA" w:rsidRPr="003D4AAA">
        <w:rPr>
          <w:rFonts w:ascii="Times New Roman" w:hAnsi="Times New Roman" w:cs="Times New Roman"/>
          <w:sz w:val="24"/>
          <w:szCs w:val="24"/>
        </w:rPr>
        <w:t>and the above-entitled case is reopened.</w:t>
      </w:r>
      <w:r w:rsidR="00F204CA">
        <w:rPr>
          <w:rFonts w:ascii="Times New Roman" w:hAnsi="Times New Roman" w:cs="Times New Roman"/>
          <w:sz w:val="24"/>
          <w:szCs w:val="24"/>
        </w:rPr>
        <w:t xml:space="preserve"> </w:t>
      </w:r>
      <w:r w:rsidR="00F204CA">
        <w:rPr>
          <w:rFonts w:ascii="Times New Roman" w:hAnsi="Times New Roman" w:cs="Times New Roman"/>
          <w:sz w:val="24"/>
          <w:szCs w:val="24"/>
          <w:lang w:val="en-CA"/>
        </w:rPr>
        <w:t>The United State Trustee shall appoint a standing Trustee to assist in the administration of the estate.</w:t>
      </w:r>
      <w:r w:rsidR="00F204CA">
        <w:rPr>
          <w:rStyle w:val="FootnoteReference"/>
          <w:rFonts w:ascii="Times New Roman" w:hAnsi="Times New Roman" w:cs="Times New Roman"/>
          <w:sz w:val="24"/>
          <w:szCs w:val="24"/>
          <w:lang w:val="en-CA"/>
        </w:rPr>
        <w:footnoteReference w:id="1"/>
      </w:r>
      <w:r w:rsidR="00F204C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5B5656E3" w14:textId="548CBFCD" w:rsidR="00F204CA" w:rsidRDefault="003D4AAA" w:rsidP="002B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AA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9421E7" w14:textId="510CA277" w:rsidR="00F204CA" w:rsidRDefault="00F204CA" w:rsidP="00F20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IT IS FURT</w:t>
      </w:r>
      <w:r w:rsidR="003A647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ER O</w:t>
      </w:r>
      <w:r w:rsidR="004D33B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DERED that payment of the reopening fee is deferred until the time of final distribution of all funds are made in this case.</w:t>
      </w:r>
    </w:p>
    <w:p w14:paraId="3CC52E09" w14:textId="6051737F" w:rsidR="002B17CF" w:rsidRDefault="002B17CF" w:rsidP="00F20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E5FFA" w14:textId="3B868909" w:rsidR="002B6D6F" w:rsidRDefault="002B6D6F" w:rsidP="002B17C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EB061A">
        <w:rPr>
          <w:rFonts w:ascii="Times New Roman" w:hAnsi="Times New Roman" w:cs="Times New Roman"/>
          <w:noProof/>
          <w:sz w:val="24"/>
          <w:szCs w:val="24"/>
        </w:rPr>
        <w:t>March 9, 2023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B4D8FA" w14:textId="77777777" w:rsidR="002B6D6F" w:rsidRDefault="002B6D6F" w:rsidP="00E60C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F4E2E3" w14:textId="77777777" w:rsidR="00F548C4" w:rsidRPr="00841F4A" w:rsidRDefault="00F548C4" w:rsidP="00841F4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F548C4" w:rsidRPr="00841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96E27" w14:textId="77777777" w:rsidR="00251AB9" w:rsidRDefault="00251AB9" w:rsidP="003D4AAA">
      <w:pPr>
        <w:spacing w:after="0" w:line="240" w:lineRule="auto"/>
      </w:pPr>
      <w:r>
        <w:separator/>
      </w:r>
    </w:p>
  </w:endnote>
  <w:endnote w:type="continuationSeparator" w:id="0">
    <w:p w14:paraId="0F66B03B" w14:textId="77777777" w:rsidR="00251AB9" w:rsidRDefault="00251AB9" w:rsidP="003D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CF585" w14:textId="77777777" w:rsidR="00251AB9" w:rsidRDefault="00251AB9" w:rsidP="003D4AAA">
      <w:pPr>
        <w:spacing w:after="0" w:line="240" w:lineRule="auto"/>
      </w:pPr>
      <w:r>
        <w:separator/>
      </w:r>
    </w:p>
  </w:footnote>
  <w:footnote w:type="continuationSeparator" w:id="0">
    <w:p w14:paraId="36FA960C" w14:textId="77777777" w:rsidR="00251AB9" w:rsidRDefault="00251AB9" w:rsidP="003D4AAA">
      <w:pPr>
        <w:spacing w:after="0" w:line="240" w:lineRule="auto"/>
      </w:pPr>
      <w:r>
        <w:continuationSeparator/>
      </w:r>
    </w:p>
  </w:footnote>
  <w:footnote w:id="1">
    <w:p w14:paraId="4424D0B0" w14:textId="77777777" w:rsidR="00F204CA" w:rsidRDefault="00F204CA" w:rsidP="00F204C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71E3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71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the extent this is necessary, Court presumes the prior trustee will be reappointed.  </w:t>
      </w:r>
    </w:p>
    <w:p w14:paraId="5366CE32" w14:textId="77777777" w:rsidR="00F204CA" w:rsidRPr="00A71E35" w:rsidRDefault="00F204CA" w:rsidP="00F204CA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5D"/>
    <w:rsid w:val="000214F2"/>
    <w:rsid w:val="0006004C"/>
    <w:rsid w:val="000B24ED"/>
    <w:rsid w:val="000E4FA1"/>
    <w:rsid w:val="000F6B64"/>
    <w:rsid w:val="00134979"/>
    <w:rsid w:val="001436E2"/>
    <w:rsid w:val="00177C46"/>
    <w:rsid w:val="00186A10"/>
    <w:rsid w:val="001F09BD"/>
    <w:rsid w:val="00215540"/>
    <w:rsid w:val="00236922"/>
    <w:rsid w:val="00251AB9"/>
    <w:rsid w:val="002B17CF"/>
    <w:rsid w:val="002B6174"/>
    <w:rsid w:val="002B6D6F"/>
    <w:rsid w:val="003A647C"/>
    <w:rsid w:val="003D3785"/>
    <w:rsid w:val="003D4AAA"/>
    <w:rsid w:val="003F121A"/>
    <w:rsid w:val="004B4052"/>
    <w:rsid w:val="004D33B1"/>
    <w:rsid w:val="006A687E"/>
    <w:rsid w:val="006B2B5C"/>
    <w:rsid w:val="006D7040"/>
    <w:rsid w:val="00712E95"/>
    <w:rsid w:val="007F31F4"/>
    <w:rsid w:val="00841F4A"/>
    <w:rsid w:val="0084526F"/>
    <w:rsid w:val="008C0D9B"/>
    <w:rsid w:val="00956062"/>
    <w:rsid w:val="00A1760A"/>
    <w:rsid w:val="00B178B5"/>
    <w:rsid w:val="00B95946"/>
    <w:rsid w:val="00BA444A"/>
    <w:rsid w:val="00BC2B85"/>
    <w:rsid w:val="00BE48C6"/>
    <w:rsid w:val="00C47EA1"/>
    <w:rsid w:val="00C5386D"/>
    <w:rsid w:val="00CC2F3D"/>
    <w:rsid w:val="00CD7DA3"/>
    <w:rsid w:val="00D75B4C"/>
    <w:rsid w:val="00D90EF1"/>
    <w:rsid w:val="00DA50DF"/>
    <w:rsid w:val="00E03A45"/>
    <w:rsid w:val="00E10CF3"/>
    <w:rsid w:val="00E56A39"/>
    <w:rsid w:val="00E60CDA"/>
    <w:rsid w:val="00EB061A"/>
    <w:rsid w:val="00EB0BE5"/>
    <w:rsid w:val="00F204CA"/>
    <w:rsid w:val="00F548C4"/>
    <w:rsid w:val="00F7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EE283"/>
  <w15:chartTrackingRefBased/>
  <w15:docId w15:val="{F903C502-64B5-402C-9666-5FF3F2F3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D4A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4A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4A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A2F14-63BD-420F-9EA7-4C0A1EA8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Reopen Chapter 7</vt:lpstr>
    </vt:vector>
  </TitlesOfParts>
  <Company>
  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Reopen Chapter 7</dc:title>
  <dc:subject>
  </dc:subject>
  <dc:creator>Kelli Harrington</dc:creator>
  <cp:keywords>
  </cp:keywords>
  <dc:description>Reopen Chapter 7</dc:description>
  <cp:lastModifiedBy>Kale Guldseth</cp:lastModifiedBy>
  <cp:revision>3</cp:revision>
  <cp:lastPrinted>2018-08-07T15:12:00Z</cp:lastPrinted>
  <dcterms:created xsi:type="dcterms:W3CDTF">2023-03-09T18:49:00Z</dcterms:created>
  <dcterms:modified xsi:type="dcterms:W3CDTF">2023-03-09T18:49:00Z</dcterms:modified>
</cp:coreProperties>
</file>